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DA2" w:rsidRDefault="00631DA2" w:rsidP="00631DA2">
      <w:pPr>
        <w:tabs>
          <w:tab w:val="left" w:pos="10467"/>
        </w:tabs>
        <w:rPr>
          <w:sz w:val="18"/>
          <w:szCs w:val="18"/>
        </w:rPr>
      </w:pPr>
      <w:r>
        <w:rPr>
          <w:b/>
        </w:rPr>
        <w:t xml:space="preserve">Приложение </w:t>
      </w:r>
      <w:r w:rsidRPr="00807C03">
        <w:rPr>
          <w:b/>
        </w:rPr>
        <w:t>2</w:t>
      </w:r>
      <w:r>
        <w:rPr>
          <w:b/>
        </w:rPr>
        <w:t xml:space="preserve">. </w:t>
      </w:r>
      <w:r>
        <w:rPr>
          <w:rFonts w:cs="Arial"/>
          <w:b/>
          <w:iCs/>
          <w:szCs w:val="22"/>
        </w:rPr>
        <w:t>Форма «Лист оценки ЭД Контрагента»</w:t>
      </w:r>
      <w:r>
        <w:rPr>
          <w:rFonts w:cs="Arial"/>
          <w:b/>
          <w:iCs/>
          <w:szCs w:val="22"/>
        </w:rPr>
        <w:tab/>
        <w:t xml:space="preserve">                                     </w:t>
      </w:r>
      <w:r>
        <w:rPr>
          <w:sz w:val="18"/>
          <w:szCs w:val="18"/>
        </w:rPr>
        <w:t>(на бланке Компании)</w:t>
      </w:r>
    </w:p>
    <w:p w:rsidR="00631DA2" w:rsidRDefault="00631DA2" w:rsidP="00631DA2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Утверждаю</w:t>
      </w:r>
    </w:p>
    <w:p w:rsidR="00631DA2" w:rsidRPr="00807C03" w:rsidRDefault="00631DA2" w:rsidP="00631DA2">
      <w:pPr>
        <w:jc w:val="right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&lt;</w:t>
      </w:r>
      <w:r>
        <w:t xml:space="preserve"> </w:t>
      </w:r>
      <w:r>
        <w:rPr>
          <w:sz w:val="18"/>
          <w:szCs w:val="18"/>
          <w:u w:val="single"/>
        </w:rPr>
        <w:t xml:space="preserve">Председатель Технической комиссии &gt;           </w:t>
      </w:r>
    </w:p>
    <w:p w:rsidR="00631DA2" w:rsidRDefault="00631DA2" w:rsidP="00631DA2">
      <w:pPr>
        <w:jc w:val="right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&lt;дата&gt;</w:t>
      </w:r>
    </w:p>
    <w:tbl>
      <w:tblPr>
        <w:tblW w:w="14465" w:type="dxa"/>
        <w:tblInd w:w="93" w:type="dxa"/>
        <w:tblLook w:val="04A0" w:firstRow="1" w:lastRow="0" w:firstColumn="1" w:lastColumn="0" w:noHBand="0" w:noVBand="1"/>
      </w:tblPr>
      <w:tblGrid>
        <w:gridCol w:w="700"/>
        <w:gridCol w:w="718"/>
        <w:gridCol w:w="850"/>
        <w:gridCol w:w="851"/>
        <w:gridCol w:w="79"/>
        <w:gridCol w:w="771"/>
        <w:gridCol w:w="426"/>
        <w:gridCol w:w="425"/>
        <w:gridCol w:w="850"/>
        <w:gridCol w:w="23"/>
        <w:gridCol w:w="866"/>
        <w:gridCol w:w="783"/>
        <w:gridCol w:w="1589"/>
        <w:gridCol w:w="1399"/>
        <w:gridCol w:w="1309"/>
        <w:gridCol w:w="371"/>
        <w:gridCol w:w="2455"/>
      </w:tblGrid>
      <w:tr w:rsidR="00631DA2" w:rsidTr="00631DA2">
        <w:trPr>
          <w:gridAfter w:val="2"/>
          <w:wAfter w:w="2826" w:type="dxa"/>
          <w:trHeight w:val="300"/>
        </w:trPr>
        <w:tc>
          <w:tcPr>
            <w:tcW w:w="11639" w:type="dxa"/>
            <w:gridSpan w:val="15"/>
            <w:shd w:val="clear" w:color="auto" w:fill="FFFFFF"/>
            <w:vAlign w:val="center"/>
            <w:hideMark/>
          </w:tcPr>
          <w:p w:rsidR="00631DA2" w:rsidRDefault="00631DA2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Лист оценки эффективности деятельности……………………</w:t>
            </w:r>
            <w:r>
              <w:rPr>
                <w:rFonts w:cs="Arial"/>
                <w:b/>
                <w:bCs/>
                <w:color w:val="595959"/>
                <w:sz w:val="20"/>
                <w:szCs w:val="20"/>
              </w:rPr>
              <w:t xml:space="preserve"> за ……………. (Договор № …. от ………)                       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Тип сделки/Группа материала </w:t>
            </w:r>
            <w:r>
              <w:rPr>
                <w:rFonts w:cs="Arial"/>
                <w:b/>
                <w:bCs/>
                <w:color w:val="595959"/>
                <w:sz w:val="20"/>
                <w:szCs w:val="20"/>
              </w:rPr>
              <w:t>(</w:t>
            </w:r>
            <w:r w:rsidR="00807C03" w:rsidRPr="00807C03">
              <w:rPr>
                <w:rFonts w:cs="Arial"/>
                <w:b/>
                <w:bCs/>
                <w:color w:val="595959"/>
                <w:sz w:val="20"/>
                <w:szCs w:val="20"/>
              </w:rPr>
              <w:t>Бурение скважин по суточной ставке и ВМР</w:t>
            </w:r>
            <w:r>
              <w:rPr>
                <w:rFonts w:cs="Arial"/>
                <w:b/>
                <w:bCs/>
                <w:color w:val="595959"/>
                <w:sz w:val="20"/>
                <w:szCs w:val="20"/>
              </w:rPr>
              <w:t>)</w:t>
            </w:r>
          </w:p>
        </w:tc>
      </w:tr>
      <w:tr w:rsidR="00631DA2" w:rsidTr="00631DA2">
        <w:trPr>
          <w:trHeight w:val="97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№</w:t>
            </w: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br/>
              <w:t>п-п</w:t>
            </w:r>
          </w:p>
        </w:tc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Ключевой показатель эффективности (КПЭ)</w:t>
            </w:r>
          </w:p>
        </w:tc>
        <w:tc>
          <w:tcPr>
            <w:tcW w:w="42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Начисление баллов КПЭ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Вес КПЭ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Фактическое значение(%)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Расчёт балла КПЭ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Итоговый балл КПЭ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Комментарии/Методология расчёта</w:t>
            </w:r>
          </w:p>
        </w:tc>
      </w:tr>
      <w:tr w:rsidR="00631DA2" w:rsidTr="00631DA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42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  <w:t>Балы КПЭ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31DA2" w:rsidTr="00631DA2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6B0A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0,75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31DA2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>КПЭ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631DA2" w:rsidRDefault="006B0006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631DA2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>КПЭ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631DA2" w:rsidRDefault="006B0006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E24DA8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DA8" w:rsidRDefault="003E3A82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>КПЭ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E24DA8" w:rsidRDefault="006B0006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DA8" w:rsidRDefault="00E24DA8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31DA2" w:rsidTr="00631DA2">
        <w:trPr>
          <w:trHeight w:val="2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E24DA8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 w:rsidP="003E3A82">
            <w:pPr>
              <w:spacing w:before="0"/>
              <w:jc w:val="center"/>
              <w:rPr>
                <w:rFonts w:ascii="Calibri" w:hAnsi="Calibri"/>
                <w:color w:val="595959"/>
                <w:sz w:val="16"/>
                <w:szCs w:val="16"/>
              </w:rPr>
            </w:pPr>
            <w:r>
              <w:rPr>
                <w:rFonts w:ascii="Calibri" w:hAnsi="Calibri"/>
                <w:color w:val="595959"/>
                <w:sz w:val="16"/>
                <w:szCs w:val="16"/>
              </w:rPr>
              <w:t xml:space="preserve">КПЭ </w:t>
            </w:r>
            <w:r w:rsidR="003E3A82">
              <w:rPr>
                <w:rFonts w:ascii="Calibri" w:hAnsi="Calibri"/>
                <w:color w:val="595959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631DA2" w:rsidRDefault="006B0006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</w:tr>
      <w:tr w:rsidR="00631DA2" w:rsidTr="00631DA2">
        <w:trPr>
          <w:trHeight w:val="240"/>
        </w:trPr>
        <w:tc>
          <w:tcPr>
            <w:tcW w:w="6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55" w:type="dxa"/>
            <w:noWrap/>
            <w:vAlign w:val="bottom"/>
            <w:hideMark/>
          </w:tcPr>
          <w:p w:rsidR="00631DA2" w:rsidRDefault="00631DA2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1DA2" w:rsidTr="00631DA2">
        <w:trPr>
          <w:trHeight w:val="97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Уровень ЭД Контрагента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Процент КПЭ/Процент уровня ЭД Контрагента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Индикатор КПЭ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Баллы КПЭ</w:t>
            </w:r>
          </w:p>
        </w:tc>
        <w:tc>
          <w:tcPr>
            <w:tcW w:w="87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8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FFFFFF"/>
                <w:sz w:val="18"/>
                <w:szCs w:val="18"/>
              </w:rPr>
              <w:t>Рекомендуемая модель взаимодействия с Контрагентом</w:t>
            </w:r>
          </w:p>
        </w:tc>
      </w:tr>
      <w:tr w:rsidR="00631DA2" w:rsidTr="00631DA2">
        <w:trPr>
          <w:trHeight w:val="300"/>
        </w:trPr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Низкий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0% -24%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Ниже порога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ind w:left="-251" w:firstLine="251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766" w:type="dxa"/>
            <w:gridSpan w:val="7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1. Проведение технического аудита.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2. Применение ПКМ; 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3. Применение штрафных санкций, в том числе прекращение действия договора (если предусмотрено условиями договора).</w:t>
            </w:r>
          </w:p>
        </w:tc>
      </w:tr>
      <w:tr w:rsidR="00631DA2" w:rsidTr="00631DA2">
        <w:trPr>
          <w:trHeight w:val="27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25%-49%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6B0A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Порог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31DA2" w:rsidTr="00631DA2">
        <w:trPr>
          <w:trHeight w:val="240"/>
        </w:trPr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Средний</w:t>
            </w:r>
          </w:p>
        </w:tc>
        <w:tc>
          <w:tcPr>
            <w:tcW w:w="17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50-75%</w:t>
            </w:r>
          </w:p>
        </w:tc>
        <w:tc>
          <w:tcPr>
            <w:tcW w:w="11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Цель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766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1. Приложение усилий по стимулированию Контрагента к переходу на более высокий уровень эффективности посредством консультаций и применения ПКМ. 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2. Разработка совместных программ по стимулированию инновационной деятельности;</w:t>
            </w:r>
          </w:p>
        </w:tc>
      </w:tr>
      <w:tr w:rsidR="00631DA2" w:rsidTr="00631DA2">
        <w:trPr>
          <w:trHeight w:val="16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0" w:type="auto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31DA2" w:rsidTr="00631DA2">
        <w:trPr>
          <w:trHeight w:val="204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Высокий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76%-100%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Максимум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1DA2" w:rsidRDefault="00631DA2">
            <w:pPr>
              <w:spacing w:before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7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1. Возможно присвоение статуса «Постоянный партнер»; 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2. Приоритет при осуществлении выбора Контрагента (при отсутствии противоречий со стратегией контрактования); </w:t>
            </w:r>
          </w:p>
          <w:p w:rsidR="00631DA2" w:rsidRDefault="00631DA2">
            <w:pPr>
              <w:spacing w:before="0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3. Выплата бонусных вознаграждений предусмотренных условиями договора (см. Раздел 9 настоящей инструкции)</w:t>
            </w:r>
          </w:p>
        </w:tc>
      </w:tr>
    </w:tbl>
    <w:p w:rsidR="00631DA2" w:rsidRDefault="00631DA2" w:rsidP="00631DA2">
      <w:pPr>
        <w:rPr>
          <w:b/>
          <w:sz w:val="12"/>
          <w:szCs w:val="12"/>
        </w:rPr>
      </w:pPr>
      <w:r>
        <w:rPr>
          <w:b/>
          <w:sz w:val="12"/>
          <w:szCs w:val="12"/>
        </w:rPr>
        <w:t>Подготовлено</w:t>
      </w:r>
    </w:p>
    <w:p w:rsidR="00631DA2" w:rsidRDefault="00631DA2" w:rsidP="00631DA2">
      <w:pPr>
        <w:rPr>
          <w:b/>
          <w:sz w:val="12"/>
          <w:szCs w:val="12"/>
        </w:rPr>
      </w:pPr>
      <w:r>
        <w:rPr>
          <w:b/>
          <w:sz w:val="12"/>
          <w:szCs w:val="12"/>
        </w:rPr>
        <w:t>Член Технической комиссии                                            ____________________________</w:t>
      </w:r>
      <w:r w:rsidR="001F20D4">
        <w:rPr>
          <w:b/>
          <w:sz w:val="12"/>
          <w:szCs w:val="12"/>
        </w:rPr>
        <w:t>В.С. У</w:t>
      </w:r>
      <w:bookmarkStart w:id="0" w:name="_GoBack"/>
      <w:bookmarkEnd w:id="0"/>
    </w:p>
    <w:p w:rsidR="00631DA2" w:rsidRDefault="00631DA2" w:rsidP="00631DA2">
      <w:pPr>
        <w:rPr>
          <w:b/>
          <w:color w:val="FF0000"/>
          <w:sz w:val="12"/>
          <w:szCs w:val="12"/>
        </w:rPr>
      </w:pPr>
      <w:r>
        <w:rPr>
          <w:b/>
          <w:color w:val="FF0000"/>
          <w:sz w:val="12"/>
          <w:szCs w:val="12"/>
        </w:rPr>
        <w:t>*Примечание: Если по вине заказчика, контрагент выполнил свои обязательства по договору на низком уровне, то по решению Технической комиссии проводится нормализация КПЭ контрагента до целевого уровня.</w:t>
      </w:r>
    </w:p>
    <w:p w:rsidR="00E913EC" w:rsidRDefault="00E913EC"/>
    <w:sectPr w:rsidR="00E913EC" w:rsidSect="00631D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DA2"/>
    <w:rsid w:val="001F20D4"/>
    <w:rsid w:val="003E3A82"/>
    <w:rsid w:val="00631DA2"/>
    <w:rsid w:val="006B0006"/>
    <w:rsid w:val="00807C03"/>
    <w:rsid w:val="00E24DA8"/>
    <w:rsid w:val="00E9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4E074-EC25-43FA-96EE-5E9389FE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D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Викторович Назаренко</dc:creator>
  <cp:lastModifiedBy>Пендюрин</cp:lastModifiedBy>
  <cp:revision>6</cp:revision>
  <dcterms:created xsi:type="dcterms:W3CDTF">2015-01-20T04:02:00Z</dcterms:created>
  <dcterms:modified xsi:type="dcterms:W3CDTF">2015-07-03T03:34:00Z</dcterms:modified>
</cp:coreProperties>
</file>